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6302" w:type="dxa"/>
        <w:tblInd w:w="-1139" w:type="dxa"/>
        <w:shd w:val="clear" w:color="auto" w:fill="2F5496" w:themeFill="accent1" w:themeFillShade="BF"/>
        <w:tblLook w:val="04A0" w:firstRow="1" w:lastRow="0" w:firstColumn="1" w:lastColumn="0" w:noHBand="0" w:noVBand="1"/>
      </w:tblPr>
      <w:tblGrid>
        <w:gridCol w:w="1555"/>
        <w:gridCol w:w="1632"/>
        <w:gridCol w:w="4326"/>
        <w:gridCol w:w="4427"/>
        <w:gridCol w:w="1799"/>
        <w:gridCol w:w="2563"/>
      </w:tblGrid>
      <w:tr w:rsidR="00EC21F5" w:rsidTr="00EC21F5">
        <w:trPr>
          <w:trHeight w:val="343"/>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21F5" w:rsidRDefault="00EC21F5">
            <w:pPr>
              <w:rPr>
                <w:rFonts w:asciiTheme="minorHAnsi" w:hAnsiTheme="minorHAnsi" w:cstheme="minorHAnsi"/>
                <w:b/>
                <w:bCs/>
                <w:color w:val="000000"/>
              </w:rPr>
            </w:pPr>
            <w:r>
              <w:rPr>
                <w:rFonts w:asciiTheme="minorHAnsi" w:hAnsiTheme="minorHAnsi" w:cstheme="minorHAnsi"/>
                <w:b/>
                <w:bCs/>
                <w:color w:val="000000"/>
              </w:rPr>
              <w:t>Aide « Dynamique entreprise »</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21F5" w:rsidRDefault="00EC21F5">
            <w:pPr>
              <w:autoSpaceDE w:val="0"/>
              <w:autoSpaceDN w:val="0"/>
              <w:adjustRightInd w:val="0"/>
              <w:rPr>
                <w:rFonts w:asciiTheme="minorHAnsi" w:hAnsiTheme="minorHAnsi" w:cstheme="minorHAnsi"/>
              </w:rPr>
            </w:pPr>
            <w:r>
              <w:rPr>
                <w:rFonts w:asciiTheme="minorHAnsi" w:hAnsiTheme="minorHAnsi" w:cstheme="minorHAnsi"/>
              </w:rPr>
              <w:t>Soutenir le développement et l’optimisation du tissu économique du territoire</w:t>
            </w:r>
          </w:p>
        </w:tc>
        <w:tc>
          <w:tcPr>
            <w:tcW w:w="43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21F5" w:rsidRDefault="00EC21F5">
            <w:pPr>
              <w:ind w:left="31" w:right="39"/>
              <w:jc w:val="both"/>
              <w:rPr>
                <w:rFonts w:asciiTheme="minorHAnsi" w:eastAsia="Calibri" w:hAnsiTheme="minorHAnsi" w:cstheme="minorHAnsi"/>
              </w:rPr>
            </w:pPr>
            <w:bookmarkStart w:id="0" w:name="_Hlk89704283"/>
            <w:r>
              <w:rPr>
                <w:rFonts w:asciiTheme="minorHAnsi" w:eastAsia="Calibri" w:hAnsiTheme="minorHAnsi" w:cstheme="minorHAnsi"/>
              </w:rPr>
              <w:t>Les personnes physiques et morales de droit privé justifiant d’une inscription au registre du commerce et des sociétés, au répertoire des métiers ou registre des actifs agricoles et remplissant les critères suivants, à l’exclusion à l’exclusion des S.C.I., des entreprises sous statut d’auto-entrepreneur ou de régime micro-entreprise hormis dans le cas de leur développement avec transformation en société :</w:t>
            </w:r>
            <w:bookmarkEnd w:id="0"/>
          </w:p>
          <w:p w:rsidR="00EC21F5" w:rsidRDefault="00EC21F5" w:rsidP="0076350E">
            <w:pPr>
              <w:numPr>
                <w:ilvl w:val="0"/>
                <w:numId w:val="1"/>
              </w:numPr>
              <w:spacing w:after="160" w:line="256" w:lineRule="auto"/>
              <w:ind w:left="312" w:right="39" w:hanging="283"/>
              <w:contextualSpacing/>
              <w:jc w:val="both"/>
              <w:rPr>
                <w:rFonts w:asciiTheme="minorHAnsi" w:eastAsia="Calibri" w:hAnsiTheme="minorHAnsi" w:cstheme="minorHAnsi"/>
              </w:rPr>
            </w:pPr>
            <w:r>
              <w:rPr>
                <w:rFonts w:asciiTheme="minorHAnsi" w:eastAsia="Calibri" w:hAnsiTheme="minorHAnsi" w:cstheme="minorHAnsi"/>
              </w:rPr>
              <w:t>T.P.E., P.M.E./P.M.I. autonomes (indépendantes ou avec partenariats minoritaires d’autres P.M.E./P.M.I. indépendantes), non franchisés, titulaires de contrats d’enseigne simple, avec un chiffre d’affaires annuel plafonné à 2 millions d’Euros, dont le siège ou l’établissement concerné par le programme d’investissement est situé sur le territoire de la Communauté de communes</w:t>
            </w:r>
          </w:p>
          <w:p w:rsidR="00EC21F5" w:rsidRDefault="00EC21F5" w:rsidP="0076350E">
            <w:pPr>
              <w:numPr>
                <w:ilvl w:val="0"/>
                <w:numId w:val="1"/>
              </w:numPr>
              <w:spacing w:after="160" w:line="256" w:lineRule="auto"/>
              <w:ind w:left="312" w:right="39" w:hanging="283"/>
              <w:contextualSpacing/>
              <w:jc w:val="both"/>
              <w:rPr>
                <w:rFonts w:asciiTheme="minorHAnsi" w:eastAsia="Calibri" w:hAnsiTheme="minorHAnsi" w:cstheme="minorHAnsi"/>
              </w:rPr>
            </w:pPr>
            <w:proofErr w:type="gramStart"/>
            <w:r>
              <w:rPr>
                <w:rFonts w:asciiTheme="minorHAnsi" w:eastAsia="Calibri" w:hAnsiTheme="minorHAnsi" w:cstheme="minorHAnsi"/>
              </w:rPr>
              <w:t>être</w:t>
            </w:r>
            <w:proofErr w:type="gramEnd"/>
            <w:r>
              <w:rPr>
                <w:rFonts w:asciiTheme="minorHAnsi" w:eastAsia="Calibri" w:hAnsiTheme="minorHAnsi" w:cstheme="minorHAnsi"/>
              </w:rPr>
              <w:t xml:space="preserve"> à jour de ses obligations sociétales : fiscales, sociales, urbanistiques et développement durable, notamment environnementales ;</w:t>
            </w:r>
          </w:p>
          <w:p w:rsidR="00EC21F5" w:rsidRDefault="00EC21F5" w:rsidP="0076350E">
            <w:pPr>
              <w:numPr>
                <w:ilvl w:val="0"/>
                <w:numId w:val="1"/>
              </w:numPr>
              <w:spacing w:after="160" w:line="256" w:lineRule="auto"/>
              <w:ind w:left="312" w:right="39" w:hanging="283"/>
              <w:contextualSpacing/>
              <w:jc w:val="both"/>
              <w:rPr>
                <w:rFonts w:asciiTheme="minorHAnsi" w:eastAsia="Calibri" w:hAnsiTheme="minorHAnsi" w:cstheme="minorHAnsi"/>
              </w:rPr>
            </w:pPr>
            <w:proofErr w:type="gramStart"/>
            <w:r>
              <w:rPr>
                <w:rFonts w:asciiTheme="minorHAnsi" w:eastAsia="Calibri" w:hAnsiTheme="minorHAnsi" w:cstheme="minorHAnsi"/>
              </w:rPr>
              <w:t>engager</w:t>
            </w:r>
            <w:proofErr w:type="gramEnd"/>
            <w:r>
              <w:rPr>
                <w:rFonts w:asciiTheme="minorHAnsi" w:eastAsia="Calibri" w:hAnsiTheme="minorHAnsi" w:cstheme="minorHAnsi"/>
              </w:rPr>
              <w:t xml:space="preserve"> un projet d’investissement nécessaire à la création/reprise, au maintien ou au développement de l’activité ;</w:t>
            </w:r>
          </w:p>
          <w:p w:rsidR="00EC21F5" w:rsidRDefault="00EC21F5">
            <w:pPr>
              <w:ind w:left="312" w:right="39"/>
              <w:jc w:val="both"/>
              <w:rPr>
                <w:rFonts w:asciiTheme="minorHAnsi" w:eastAsia="Calibri" w:hAnsiTheme="minorHAnsi" w:cstheme="minorHAnsi"/>
              </w:rPr>
            </w:pPr>
            <w:proofErr w:type="gramStart"/>
            <w:r>
              <w:rPr>
                <w:rFonts w:asciiTheme="minorHAnsi" w:eastAsia="Calibri" w:hAnsiTheme="minorHAnsi" w:cstheme="minorHAnsi"/>
              </w:rPr>
              <w:t>maintenir</w:t>
            </w:r>
            <w:proofErr w:type="gramEnd"/>
            <w:r>
              <w:rPr>
                <w:rFonts w:asciiTheme="minorHAnsi" w:eastAsia="Calibri" w:hAnsiTheme="minorHAnsi" w:cstheme="minorHAnsi"/>
              </w:rPr>
              <w:t xml:space="preserve"> les investissements aidés dans l’entreprise pendant 4 ans</w:t>
            </w:r>
          </w:p>
        </w:tc>
        <w:tc>
          <w:tcPr>
            <w:tcW w:w="44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21F5" w:rsidRDefault="00EC21F5">
            <w:pPr>
              <w:ind w:left="31" w:right="39"/>
              <w:jc w:val="both"/>
              <w:rPr>
                <w:rFonts w:asciiTheme="minorHAnsi" w:eastAsia="Calibri" w:hAnsiTheme="minorHAnsi" w:cstheme="minorHAnsi"/>
              </w:rPr>
            </w:pPr>
            <w:r>
              <w:rPr>
                <w:rFonts w:asciiTheme="minorHAnsi" w:eastAsia="Calibri" w:hAnsiTheme="minorHAnsi" w:cstheme="minorHAnsi"/>
              </w:rPr>
              <w:t>Les investissements, hors acquisition immobilière et fonds de commerce, hormis les immobilisations reprises indiquées dans l’acte notarié (matériel productif, mobilier…) lorsque leur acquisition est accompagnée d’investissements, nécessaires à la création/reprise, au maintien ou au développement de l’activité :</w:t>
            </w:r>
          </w:p>
          <w:p w:rsidR="00EC21F5" w:rsidRDefault="00EC21F5" w:rsidP="0076350E">
            <w:pPr>
              <w:numPr>
                <w:ilvl w:val="0"/>
                <w:numId w:val="1"/>
              </w:numPr>
              <w:spacing w:after="160" w:line="256" w:lineRule="auto"/>
              <w:ind w:left="312" w:right="39" w:hanging="283"/>
              <w:contextualSpacing/>
              <w:jc w:val="both"/>
              <w:rPr>
                <w:rFonts w:asciiTheme="minorHAnsi" w:eastAsia="Calibri" w:hAnsiTheme="minorHAnsi" w:cstheme="minorHAnsi"/>
              </w:rPr>
            </w:pPr>
            <w:r>
              <w:rPr>
                <w:rFonts w:asciiTheme="minorHAnsi" w:eastAsia="Calibri" w:hAnsiTheme="minorHAnsi" w:cstheme="minorHAnsi"/>
              </w:rPr>
              <w:t>Travaux d’aménagement, de modernisation, de réhabilitation, de rénovation et de mise aux normes, notamment concernant la meilleure protection de l’environnement ;</w:t>
            </w:r>
          </w:p>
          <w:p w:rsidR="00EC21F5" w:rsidRDefault="00EC21F5" w:rsidP="0076350E">
            <w:pPr>
              <w:numPr>
                <w:ilvl w:val="0"/>
                <w:numId w:val="1"/>
              </w:numPr>
              <w:spacing w:after="160" w:line="256" w:lineRule="auto"/>
              <w:ind w:left="312" w:right="39" w:hanging="283"/>
              <w:contextualSpacing/>
              <w:jc w:val="both"/>
              <w:rPr>
                <w:rFonts w:asciiTheme="minorHAnsi" w:eastAsia="Calibri" w:hAnsiTheme="minorHAnsi" w:cstheme="minorHAnsi"/>
              </w:rPr>
            </w:pPr>
            <w:r>
              <w:rPr>
                <w:rFonts w:asciiTheme="minorHAnsi" w:eastAsia="Calibri" w:hAnsiTheme="minorHAnsi" w:cstheme="minorHAnsi"/>
              </w:rPr>
              <w:t>Acquisition d’outillage et mobilier, matériel productif et non productif, y compris matériel roulant nécessaire à l’activité, hors simple renouvellement et d’un coût unitaire supérieur à 500 € HT ;</w:t>
            </w:r>
          </w:p>
          <w:p w:rsidR="00EC21F5" w:rsidRDefault="00EC21F5" w:rsidP="0076350E">
            <w:pPr>
              <w:numPr>
                <w:ilvl w:val="0"/>
                <w:numId w:val="1"/>
              </w:numPr>
              <w:spacing w:after="160" w:line="256" w:lineRule="auto"/>
              <w:ind w:left="312" w:right="39" w:hanging="283"/>
              <w:contextualSpacing/>
              <w:jc w:val="both"/>
              <w:rPr>
                <w:rFonts w:asciiTheme="minorHAnsi" w:eastAsia="Calibri" w:hAnsiTheme="minorHAnsi" w:cstheme="minorHAnsi"/>
              </w:rPr>
            </w:pPr>
            <w:r>
              <w:rPr>
                <w:rFonts w:asciiTheme="minorHAnsi" w:eastAsia="Calibri" w:hAnsiTheme="minorHAnsi" w:cstheme="minorHAnsi"/>
              </w:rPr>
              <w:t>Investissements immatériels, études et diagnostics réalisés par des établissements agréés,</w:t>
            </w:r>
          </w:p>
          <w:p w:rsidR="00EC21F5" w:rsidRDefault="00EC21F5" w:rsidP="0076350E">
            <w:pPr>
              <w:numPr>
                <w:ilvl w:val="0"/>
                <w:numId w:val="1"/>
              </w:numPr>
              <w:spacing w:after="160" w:line="256" w:lineRule="auto"/>
              <w:ind w:left="312" w:right="39" w:hanging="283"/>
              <w:contextualSpacing/>
              <w:jc w:val="both"/>
              <w:rPr>
                <w:rFonts w:asciiTheme="minorHAnsi" w:eastAsia="Calibri" w:hAnsiTheme="minorHAnsi" w:cstheme="minorHAnsi"/>
              </w:rPr>
            </w:pPr>
            <w:r>
              <w:rPr>
                <w:rFonts w:asciiTheme="minorHAnsi" w:eastAsia="Calibri" w:hAnsiTheme="minorHAnsi" w:cstheme="minorHAnsi"/>
              </w:rPr>
              <w:t>Acquisition de véhicules ateliers de tournées ou dédiés dont l’aménagement spécifique est supérieur à 3 000 € HT.</w:t>
            </w:r>
          </w:p>
          <w:p w:rsidR="00EC21F5" w:rsidRDefault="00EC21F5">
            <w:pPr>
              <w:ind w:left="31" w:right="39"/>
              <w:jc w:val="both"/>
              <w:rPr>
                <w:rFonts w:asciiTheme="minorHAnsi" w:eastAsia="Calibri" w:hAnsiTheme="minorHAnsi" w:cstheme="minorHAnsi"/>
              </w:rPr>
            </w:pPr>
            <w:r>
              <w:rPr>
                <w:rFonts w:asciiTheme="minorHAnsi" w:hAnsiTheme="minorHAnsi" w:cstheme="minorHAnsi"/>
              </w:rPr>
              <w:t>Le règlement précise certaines conditions.</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21F5" w:rsidRDefault="00EC21F5">
            <w:pPr>
              <w:rPr>
                <w:rFonts w:asciiTheme="minorHAnsi" w:hAnsiTheme="minorHAnsi" w:cstheme="minorHAnsi"/>
              </w:rPr>
            </w:pPr>
            <w:r>
              <w:rPr>
                <w:rFonts w:asciiTheme="minorHAnsi" w:hAnsiTheme="minorHAnsi" w:cstheme="minorHAnsi"/>
              </w:rPr>
              <w:t>Subvention d’investissement</w:t>
            </w:r>
          </w:p>
        </w:tc>
        <w:tc>
          <w:tcPr>
            <w:tcW w:w="25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C21F5" w:rsidRDefault="00EC21F5">
            <w:pPr>
              <w:jc w:val="both"/>
              <w:rPr>
                <w:rFonts w:asciiTheme="minorHAnsi" w:eastAsia="Times New Roman" w:hAnsiTheme="minorHAnsi" w:cstheme="minorHAnsi"/>
                <w:spacing w:val="-4"/>
                <w:lang w:eastAsia="fr-FR"/>
              </w:rPr>
            </w:pPr>
            <w:r>
              <w:rPr>
                <w:rFonts w:asciiTheme="minorHAnsi" w:eastAsia="Times New Roman" w:hAnsiTheme="minorHAnsi" w:cstheme="minorHAnsi"/>
                <w:spacing w:val="-4"/>
                <w:u w:val="single"/>
                <w:lang w:eastAsia="fr-FR"/>
              </w:rPr>
              <w:t>Montant des dépenses éligibles&gt; 3 000 € HT</w:t>
            </w:r>
          </w:p>
          <w:p w:rsidR="00EC21F5" w:rsidRDefault="00EC21F5">
            <w:pPr>
              <w:jc w:val="both"/>
              <w:rPr>
                <w:rFonts w:asciiTheme="minorHAnsi" w:eastAsia="Times New Roman" w:hAnsiTheme="minorHAnsi" w:cstheme="minorHAnsi"/>
                <w:spacing w:val="-4"/>
                <w:lang w:eastAsia="fr-FR"/>
              </w:rPr>
            </w:pPr>
            <w:r>
              <w:rPr>
                <w:rFonts w:asciiTheme="minorHAnsi" w:eastAsia="Times New Roman" w:hAnsiTheme="minorHAnsi" w:cstheme="minorHAnsi"/>
                <w:spacing w:val="-4"/>
                <w:u w:val="single"/>
                <w:lang w:eastAsia="fr-FR"/>
              </w:rPr>
              <w:t>Taux =</w:t>
            </w:r>
            <w:r>
              <w:rPr>
                <w:rFonts w:asciiTheme="minorHAnsi" w:eastAsia="Times New Roman" w:hAnsiTheme="minorHAnsi" w:cstheme="minorHAnsi"/>
                <w:spacing w:val="-4"/>
                <w:lang w:eastAsia="fr-FR"/>
              </w:rPr>
              <w:t xml:space="preserve"> 25% porté à 30% si création nette d’emploi</w:t>
            </w:r>
          </w:p>
          <w:p w:rsidR="00EC21F5" w:rsidRDefault="00EC21F5">
            <w:pPr>
              <w:jc w:val="both"/>
              <w:rPr>
                <w:rFonts w:asciiTheme="minorHAnsi" w:eastAsia="Times New Roman" w:hAnsiTheme="minorHAnsi" w:cstheme="minorHAnsi"/>
                <w:spacing w:val="-4"/>
                <w:u w:val="single"/>
                <w:lang w:eastAsia="fr-FR"/>
              </w:rPr>
            </w:pPr>
            <w:r>
              <w:rPr>
                <w:rFonts w:asciiTheme="minorHAnsi" w:eastAsia="Times New Roman" w:hAnsiTheme="minorHAnsi" w:cstheme="minorHAnsi"/>
                <w:spacing w:val="-4"/>
                <w:u w:val="single"/>
                <w:lang w:eastAsia="fr-FR"/>
              </w:rPr>
              <w:t xml:space="preserve">Montant maximum de subvention </w:t>
            </w:r>
            <w:proofErr w:type="gramStart"/>
            <w:r>
              <w:rPr>
                <w:rFonts w:asciiTheme="minorHAnsi" w:eastAsia="Times New Roman" w:hAnsiTheme="minorHAnsi" w:cstheme="minorHAnsi"/>
                <w:spacing w:val="-4"/>
                <w:u w:val="single"/>
                <w:lang w:eastAsia="fr-FR"/>
              </w:rPr>
              <w:t>=</w:t>
            </w:r>
            <w:r>
              <w:rPr>
                <w:rFonts w:asciiTheme="minorHAnsi" w:hAnsiTheme="minorHAnsi" w:cstheme="minorHAnsi"/>
              </w:rPr>
              <w:t xml:space="preserve">  9</w:t>
            </w:r>
            <w:proofErr w:type="gramEnd"/>
            <w:r>
              <w:rPr>
                <w:rFonts w:asciiTheme="minorHAnsi" w:hAnsiTheme="minorHAnsi" w:cstheme="minorHAnsi"/>
              </w:rPr>
              <w:t xml:space="preserve"> 000 € </w:t>
            </w:r>
          </w:p>
        </w:tc>
      </w:tr>
    </w:tbl>
    <w:p w:rsidR="00084D1B" w:rsidRDefault="00084D1B">
      <w:bookmarkStart w:id="1" w:name="_GoBack"/>
      <w:bookmarkEnd w:id="1"/>
    </w:p>
    <w:sectPr w:rsidR="00084D1B" w:rsidSect="00EC21F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23B"/>
    <w:multiLevelType w:val="hybridMultilevel"/>
    <w:tmpl w:val="C75480D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F5"/>
    <w:rsid w:val="00084D1B"/>
    <w:rsid w:val="00EC21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1E05C-6480-4477-B6DE-7AFD9044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1F5"/>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C21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58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1946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 </cp:lastModifiedBy>
  <cp:revision>1</cp:revision>
  <dcterms:created xsi:type="dcterms:W3CDTF">2022-04-05T15:48:00Z</dcterms:created>
  <dcterms:modified xsi:type="dcterms:W3CDTF">2022-04-05T15:49:00Z</dcterms:modified>
</cp:coreProperties>
</file>